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5C6" w:rsidRDefault="003565C6" w:rsidP="00F41F82">
      <w:pPr>
        <w:numPr>
          <w:ilvl w:val="0"/>
          <w:numId w:val="1"/>
        </w:numPr>
        <w:tabs>
          <w:tab w:val="clear" w:pos="720"/>
          <w:tab w:val="num" w:pos="426"/>
        </w:tabs>
        <w:spacing w:before="240"/>
        <w:ind w:left="426" w:hanging="426"/>
        <w:jc w:val="both"/>
        <w:rPr>
          <w:rFonts w:ascii="Arial" w:hAnsi="Arial" w:cs="Arial"/>
          <w:sz w:val="22"/>
          <w:szCs w:val="22"/>
        </w:rPr>
      </w:pPr>
      <w:bookmarkStart w:id="0" w:name="_GoBack"/>
      <w:bookmarkEnd w:id="0"/>
      <w:r w:rsidRPr="002F69CC">
        <w:rPr>
          <w:rFonts w:ascii="Arial" w:hAnsi="Arial" w:cs="Arial"/>
          <w:sz w:val="22"/>
          <w:szCs w:val="22"/>
        </w:rPr>
        <w:t>The Family Responsibilities Commission Annual Report 2010–2011</w:t>
      </w:r>
      <w:r w:rsidRPr="002F69CC">
        <w:rPr>
          <w:rFonts w:ascii="Arial" w:hAnsi="Arial" w:cs="Arial"/>
          <w:i/>
          <w:sz w:val="22"/>
          <w:szCs w:val="22"/>
        </w:rPr>
        <w:t xml:space="preserve"> </w:t>
      </w:r>
      <w:r w:rsidRPr="002F69CC">
        <w:rPr>
          <w:rFonts w:ascii="Arial" w:hAnsi="Arial" w:cs="Arial"/>
          <w:sz w:val="22"/>
          <w:szCs w:val="22"/>
        </w:rPr>
        <w:t>provides information on the operation of the Family Responsibilities Commission (FRC) from 1 July 2010 to 30 June 2011.</w:t>
      </w:r>
    </w:p>
    <w:p w:rsidR="003565C6" w:rsidRDefault="003565C6" w:rsidP="00F41F82">
      <w:pPr>
        <w:numPr>
          <w:ilvl w:val="0"/>
          <w:numId w:val="1"/>
        </w:numPr>
        <w:tabs>
          <w:tab w:val="clear" w:pos="720"/>
          <w:tab w:val="num" w:pos="426"/>
        </w:tabs>
        <w:spacing w:before="240"/>
        <w:ind w:left="426" w:hanging="426"/>
        <w:jc w:val="both"/>
        <w:rPr>
          <w:rFonts w:ascii="Arial" w:hAnsi="Arial" w:cs="Arial"/>
          <w:sz w:val="22"/>
          <w:szCs w:val="22"/>
        </w:rPr>
      </w:pPr>
      <w:r w:rsidRPr="002F69CC">
        <w:rPr>
          <w:rFonts w:ascii="Arial" w:hAnsi="Arial" w:cs="Arial"/>
          <w:sz w:val="22"/>
          <w:szCs w:val="22"/>
        </w:rPr>
        <w:t xml:space="preserve">In line with the </w:t>
      </w:r>
      <w:r w:rsidRPr="002F69CC">
        <w:rPr>
          <w:rFonts w:ascii="Arial" w:hAnsi="Arial" w:cs="Arial"/>
          <w:i/>
          <w:sz w:val="22"/>
          <w:szCs w:val="22"/>
        </w:rPr>
        <w:t>Family Responsibilities Commission Act 2008</w:t>
      </w:r>
      <w:r w:rsidRPr="002F69CC">
        <w:rPr>
          <w:rFonts w:ascii="Arial" w:hAnsi="Arial" w:cs="Arial"/>
          <w:sz w:val="22"/>
          <w:szCs w:val="22"/>
        </w:rPr>
        <w:t>, which established the FRC, the Minister is to be provided with the FRC’s Annual Report for each year by 31 Octob</w:t>
      </w:r>
      <w:r w:rsidRPr="00657EE1">
        <w:rPr>
          <w:rFonts w:ascii="Arial" w:hAnsi="Arial" w:cs="Arial"/>
          <w:sz w:val="22"/>
          <w:szCs w:val="22"/>
        </w:rPr>
        <w:t>er each year and is then required to t</w:t>
      </w:r>
      <w:r w:rsidR="00657EE1" w:rsidRPr="00657EE1">
        <w:rPr>
          <w:rFonts w:ascii="Arial" w:hAnsi="Arial" w:cs="Arial"/>
          <w:sz w:val="22"/>
          <w:szCs w:val="22"/>
        </w:rPr>
        <w:t>able the Report within 14</w:t>
      </w:r>
      <w:r w:rsidR="00ED60E5">
        <w:rPr>
          <w:rFonts w:ascii="Arial" w:hAnsi="Arial" w:cs="Arial"/>
          <w:sz w:val="22"/>
          <w:szCs w:val="22"/>
        </w:rPr>
        <w:t xml:space="preserve"> sitting</w:t>
      </w:r>
      <w:r w:rsidR="00657EE1" w:rsidRPr="00657EE1">
        <w:rPr>
          <w:rFonts w:ascii="Arial" w:hAnsi="Arial" w:cs="Arial"/>
          <w:sz w:val="22"/>
          <w:szCs w:val="22"/>
        </w:rPr>
        <w:t xml:space="preserve"> days. </w:t>
      </w:r>
    </w:p>
    <w:p w:rsidR="003565C6" w:rsidRDefault="003565C6" w:rsidP="00F41F82">
      <w:pPr>
        <w:numPr>
          <w:ilvl w:val="0"/>
          <w:numId w:val="1"/>
        </w:numPr>
        <w:tabs>
          <w:tab w:val="clear" w:pos="720"/>
          <w:tab w:val="num" w:pos="426"/>
        </w:tabs>
        <w:spacing w:before="240"/>
        <w:ind w:left="426" w:hanging="426"/>
        <w:jc w:val="both"/>
        <w:rPr>
          <w:rFonts w:ascii="Arial" w:hAnsi="Arial" w:cs="Arial"/>
          <w:sz w:val="22"/>
          <w:szCs w:val="22"/>
        </w:rPr>
      </w:pPr>
      <w:r w:rsidRPr="002F69CC">
        <w:rPr>
          <w:rFonts w:ascii="Arial" w:hAnsi="Arial" w:cs="Arial"/>
          <w:sz w:val="22"/>
          <w:szCs w:val="22"/>
        </w:rPr>
        <w:t xml:space="preserve">The FRC also provides the Minister with quarterly reports on its operations.  </w:t>
      </w:r>
    </w:p>
    <w:p w:rsidR="003565C6" w:rsidRPr="002F69CC" w:rsidRDefault="003565C6" w:rsidP="00F41F82">
      <w:pPr>
        <w:numPr>
          <w:ilvl w:val="0"/>
          <w:numId w:val="1"/>
        </w:numPr>
        <w:tabs>
          <w:tab w:val="clear" w:pos="720"/>
          <w:tab w:val="num" w:pos="426"/>
        </w:tabs>
        <w:spacing w:before="240"/>
        <w:ind w:left="426" w:hanging="426"/>
        <w:jc w:val="both"/>
        <w:rPr>
          <w:rFonts w:ascii="Arial" w:hAnsi="Arial" w:cs="Arial"/>
          <w:sz w:val="22"/>
          <w:szCs w:val="22"/>
        </w:rPr>
      </w:pPr>
      <w:r w:rsidRPr="002F69CC">
        <w:rPr>
          <w:rFonts w:ascii="Arial" w:hAnsi="Arial" w:cs="Arial"/>
          <w:sz w:val="22"/>
          <w:szCs w:val="22"/>
        </w:rPr>
        <w:t>The Annual Report provides statistical and financial information about the second year of the FRC’s operations including:</w:t>
      </w:r>
    </w:p>
    <w:p w:rsidR="003565C6" w:rsidRPr="002F69CC" w:rsidRDefault="003565C6" w:rsidP="00F41F82">
      <w:pPr>
        <w:numPr>
          <w:ilvl w:val="0"/>
          <w:numId w:val="2"/>
        </w:numPr>
        <w:spacing w:before="120"/>
        <w:ind w:left="714" w:hanging="288"/>
        <w:jc w:val="both"/>
        <w:rPr>
          <w:rFonts w:ascii="Arial" w:hAnsi="Arial" w:cs="Arial"/>
          <w:sz w:val="22"/>
          <w:szCs w:val="22"/>
        </w:rPr>
      </w:pPr>
      <w:r w:rsidRPr="002F69CC">
        <w:rPr>
          <w:rFonts w:ascii="Arial" w:hAnsi="Arial" w:cs="Arial"/>
          <w:sz w:val="22"/>
          <w:szCs w:val="22"/>
        </w:rPr>
        <w:t>3669 agency notifications were received, 2736 (75 per cent) of which were within the Commission’s jurisdiction. The notifications within jurisdiction comprise:</w:t>
      </w:r>
    </w:p>
    <w:p w:rsidR="003565C6" w:rsidRPr="002F69CC" w:rsidRDefault="003565C6" w:rsidP="00F41F82">
      <w:pPr>
        <w:numPr>
          <w:ilvl w:val="0"/>
          <w:numId w:val="4"/>
        </w:numPr>
        <w:tabs>
          <w:tab w:val="left" w:pos="1134"/>
        </w:tabs>
        <w:spacing w:before="60"/>
        <w:ind w:left="1071" w:hanging="357"/>
        <w:jc w:val="both"/>
        <w:textAlignment w:val="baseline"/>
        <w:rPr>
          <w:rFonts w:ascii="Arial" w:hAnsi="Arial" w:cs="Arial"/>
          <w:sz w:val="22"/>
          <w:szCs w:val="22"/>
        </w:rPr>
      </w:pPr>
      <w:r w:rsidRPr="002F69CC">
        <w:rPr>
          <w:rFonts w:ascii="Arial" w:hAnsi="Arial" w:cs="Arial"/>
          <w:sz w:val="22"/>
          <w:szCs w:val="22"/>
        </w:rPr>
        <w:t>1142 Magistrates Court notifications</w:t>
      </w:r>
    </w:p>
    <w:p w:rsidR="003565C6" w:rsidRPr="002F69CC" w:rsidRDefault="003565C6" w:rsidP="00F41F82">
      <w:pPr>
        <w:numPr>
          <w:ilvl w:val="0"/>
          <w:numId w:val="4"/>
        </w:numPr>
        <w:tabs>
          <w:tab w:val="left" w:pos="1134"/>
        </w:tabs>
        <w:spacing w:before="60"/>
        <w:ind w:left="1071" w:hanging="357"/>
        <w:jc w:val="both"/>
        <w:textAlignment w:val="baseline"/>
        <w:rPr>
          <w:rFonts w:ascii="Arial" w:hAnsi="Arial" w:cs="Arial"/>
          <w:sz w:val="22"/>
          <w:szCs w:val="22"/>
        </w:rPr>
      </w:pPr>
      <w:r w:rsidRPr="002F69CC">
        <w:rPr>
          <w:rFonts w:ascii="Arial" w:hAnsi="Arial" w:cs="Arial"/>
          <w:sz w:val="22"/>
          <w:szCs w:val="22"/>
        </w:rPr>
        <w:t>1336 School Attendance notifications</w:t>
      </w:r>
    </w:p>
    <w:p w:rsidR="003565C6" w:rsidRPr="002F69CC" w:rsidRDefault="003565C6" w:rsidP="00F41F82">
      <w:pPr>
        <w:numPr>
          <w:ilvl w:val="0"/>
          <w:numId w:val="4"/>
        </w:numPr>
        <w:tabs>
          <w:tab w:val="left" w:pos="1134"/>
        </w:tabs>
        <w:spacing w:before="60"/>
        <w:ind w:left="1071" w:hanging="357"/>
        <w:jc w:val="both"/>
        <w:textAlignment w:val="baseline"/>
        <w:rPr>
          <w:rFonts w:ascii="Arial" w:hAnsi="Arial" w:cs="Arial"/>
          <w:sz w:val="22"/>
          <w:szCs w:val="22"/>
        </w:rPr>
      </w:pPr>
      <w:r w:rsidRPr="002F69CC">
        <w:rPr>
          <w:rFonts w:ascii="Arial" w:hAnsi="Arial" w:cs="Arial"/>
          <w:sz w:val="22"/>
          <w:szCs w:val="22"/>
        </w:rPr>
        <w:t>227 Child Safety notifications</w:t>
      </w:r>
    </w:p>
    <w:p w:rsidR="003565C6" w:rsidRPr="002F69CC" w:rsidRDefault="003565C6" w:rsidP="00F41F82">
      <w:pPr>
        <w:numPr>
          <w:ilvl w:val="0"/>
          <w:numId w:val="4"/>
        </w:numPr>
        <w:tabs>
          <w:tab w:val="left" w:pos="1134"/>
        </w:tabs>
        <w:spacing w:before="60"/>
        <w:ind w:left="1071" w:hanging="357"/>
        <w:jc w:val="both"/>
        <w:textAlignment w:val="baseline"/>
        <w:rPr>
          <w:rFonts w:ascii="Arial" w:hAnsi="Arial" w:cs="Arial"/>
          <w:sz w:val="22"/>
          <w:szCs w:val="22"/>
        </w:rPr>
      </w:pPr>
      <w:r w:rsidRPr="002F69CC">
        <w:rPr>
          <w:rFonts w:ascii="Arial" w:hAnsi="Arial" w:cs="Arial"/>
          <w:sz w:val="22"/>
          <w:szCs w:val="22"/>
        </w:rPr>
        <w:t>31 Housing Tenancy notifications</w:t>
      </w:r>
      <w:r w:rsidR="00F46F52">
        <w:rPr>
          <w:rFonts w:ascii="Arial" w:hAnsi="Arial" w:cs="Arial"/>
          <w:sz w:val="22"/>
          <w:szCs w:val="22"/>
        </w:rPr>
        <w:t>;</w:t>
      </w:r>
    </w:p>
    <w:p w:rsidR="003565C6" w:rsidRPr="002F69CC" w:rsidRDefault="003565C6" w:rsidP="00F41F82">
      <w:pPr>
        <w:numPr>
          <w:ilvl w:val="0"/>
          <w:numId w:val="2"/>
        </w:numPr>
        <w:spacing w:before="120"/>
        <w:ind w:left="714" w:hanging="288"/>
        <w:jc w:val="both"/>
        <w:rPr>
          <w:rFonts w:ascii="Arial" w:hAnsi="Arial" w:cs="Arial"/>
          <w:sz w:val="22"/>
          <w:szCs w:val="22"/>
        </w:rPr>
      </w:pPr>
      <w:r w:rsidRPr="002F69CC">
        <w:rPr>
          <w:rFonts w:ascii="Arial" w:hAnsi="Arial" w:cs="Arial"/>
          <w:sz w:val="22"/>
          <w:szCs w:val="22"/>
        </w:rPr>
        <w:t>18 Local Commissioners are currently appointed to the FRC</w:t>
      </w:r>
      <w:r w:rsidR="00F46F52">
        <w:rPr>
          <w:rFonts w:ascii="Arial" w:hAnsi="Arial" w:cs="Arial"/>
          <w:sz w:val="22"/>
          <w:szCs w:val="22"/>
        </w:rPr>
        <w:t>;</w:t>
      </w:r>
    </w:p>
    <w:p w:rsidR="003565C6" w:rsidRPr="002F69CC" w:rsidRDefault="003565C6" w:rsidP="00F41F82">
      <w:pPr>
        <w:numPr>
          <w:ilvl w:val="0"/>
          <w:numId w:val="2"/>
        </w:numPr>
        <w:spacing w:before="120"/>
        <w:ind w:left="714" w:hanging="288"/>
        <w:jc w:val="both"/>
        <w:rPr>
          <w:rFonts w:ascii="Arial" w:hAnsi="Arial" w:cs="Arial"/>
          <w:sz w:val="22"/>
          <w:szCs w:val="22"/>
        </w:rPr>
      </w:pPr>
      <w:r w:rsidRPr="002F69CC">
        <w:rPr>
          <w:rFonts w:ascii="Arial" w:hAnsi="Arial" w:cs="Arial"/>
          <w:sz w:val="22"/>
          <w:szCs w:val="22"/>
        </w:rPr>
        <w:t>a total of 1745 conferences were held in the four communities;</w:t>
      </w:r>
    </w:p>
    <w:p w:rsidR="003565C6" w:rsidRPr="002F69CC" w:rsidRDefault="003565C6" w:rsidP="00F41F82">
      <w:pPr>
        <w:numPr>
          <w:ilvl w:val="0"/>
          <w:numId w:val="2"/>
        </w:numPr>
        <w:spacing w:before="120"/>
        <w:ind w:left="714" w:hanging="288"/>
        <w:jc w:val="both"/>
        <w:rPr>
          <w:rFonts w:ascii="Arial" w:hAnsi="Arial" w:cs="Arial"/>
          <w:sz w:val="22"/>
          <w:szCs w:val="22"/>
        </w:rPr>
      </w:pPr>
      <w:r w:rsidRPr="002F69CC">
        <w:rPr>
          <w:rFonts w:ascii="Arial" w:hAnsi="Arial" w:cs="Arial"/>
          <w:sz w:val="22"/>
          <w:szCs w:val="22"/>
        </w:rPr>
        <w:t>83 Family Responsibility Agreements and 147 Family Responsibility Order with case plans attached were made;</w:t>
      </w:r>
    </w:p>
    <w:p w:rsidR="003565C6" w:rsidRPr="002F69CC" w:rsidRDefault="003565C6" w:rsidP="00F41F82">
      <w:pPr>
        <w:numPr>
          <w:ilvl w:val="0"/>
          <w:numId w:val="2"/>
        </w:numPr>
        <w:spacing w:before="120"/>
        <w:ind w:left="714" w:hanging="288"/>
        <w:jc w:val="both"/>
        <w:rPr>
          <w:rFonts w:ascii="Arial" w:hAnsi="Arial" w:cs="Arial"/>
          <w:sz w:val="22"/>
          <w:szCs w:val="22"/>
        </w:rPr>
      </w:pPr>
      <w:r w:rsidRPr="002F69CC">
        <w:rPr>
          <w:rFonts w:ascii="Arial" w:hAnsi="Arial" w:cs="Arial"/>
          <w:sz w:val="22"/>
          <w:szCs w:val="22"/>
        </w:rPr>
        <w:t>374 cases were referred to community support services;</w:t>
      </w:r>
    </w:p>
    <w:p w:rsidR="003565C6" w:rsidRPr="002F69CC" w:rsidRDefault="003565C6" w:rsidP="00F41F82">
      <w:pPr>
        <w:numPr>
          <w:ilvl w:val="0"/>
          <w:numId w:val="2"/>
        </w:numPr>
        <w:spacing w:before="120"/>
        <w:ind w:left="714" w:hanging="288"/>
        <w:jc w:val="both"/>
        <w:rPr>
          <w:rFonts w:ascii="Arial" w:hAnsi="Arial" w:cs="Arial"/>
          <w:sz w:val="22"/>
          <w:szCs w:val="22"/>
        </w:rPr>
      </w:pPr>
      <w:r w:rsidRPr="002F69CC">
        <w:rPr>
          <w:rFonts w:ascii="Arial" w:hAnsi="Arial" w:cs="Arial"/>
          <w:sz w:val="22"/>
          <w:szCs w:val="22"/>
        </w:rPr>
        <w:t>184 clients were being case managed at 30 June 2011; and</w:t>
      </w:r>
    </w:p>
    <w:p w:rsidR="003565C6" w:rsidRDefault="003565C6" w:rsidP="00F41F82">
      <w:pPr>
        <w:numPr>
          <w:ilvl w:val="0"/>
          <w:numId w:val="2"/>
        </w:numPr>
        <w:spacing w:before="120"/>
        <w:ind w:left="714" w:hanging="288"/>
        <w:jc w:val="both"/>
        <w:rPr>
          <w:rFonts w:ascii="Arial" w:hAnsi="Arial" w:cs="Arial"/>
          <w:sz w:val="22"/>
          <w:szCs w:val="22"/>
        </w:rPr>
      </w:pPr>
      <w:r w:rsidRPr="002F69CC">
        <w:rPr>
          <w:rFonts w:ascii="Arial" w:hAnsi="Arial" w:cs="Arial"/>
          <w:sz w:val="22"/>
          <w:szCs w:val="22"/>
        </w:rPr>
        <w:t>223 Compulsory Income Management orders were made.</w:t>
      </w:r>
    </w:p>
    <w:p w:rsidR="003565C6" w:rsidRDefault="003565C6" w:rsidP="00F41F82">
      <w:pPr>
        <w:numPr>
          <w:ilvl w:val="0"/>
          <w:numId w:val="1"/>
        </w:numPr>
        <w:tabs>
          <w:tab w:val="clear" w:pos="720"/>
          <w:tab w:val="num" w:pos="426"/>
        </w:tabs>
        <w:spacing w:before="240"/>
        <w:ind w:left="426" w:hanging="426"/>
        <w:jc w:val="both"/>
        <w:rPr>
          <w:rFonts w:ascii="Arial" w:hAnsi="Arial" w:cs="Arial"/>
          <w:sz w:val="22"/>
          <w:szCs w:val="22"/>
        </w:rPr>
      </w:pPr>
      <w:r w:rsidRPr="002F69CC">
        <w:rPr>
          <w:rFonts w:ascii="Arial" w:hAnsi="Arial" w:cs="Arial"/>
          <w:sz w:val="22"/>
          <w:szCs w:val="22"/>
        </w:rPr>
        <w:t xml:space="preserve">The report also contains qualitative information in the form of case studies from clients and Local Commissioners. This information reflects some of the positive effects the FRC’s actions are having on individuals and families in the trial communities, including increasing skills to deal with parenting, managing addictions, stress and finances, and engaging in responsible social activity.  </w:t>
      </w:r>
    </w:p>
    <w:p w:rsidR="003565C6" w:rsidRDefault="003565C6" w:rsidP="00F41F82">
      <w:pPr>
        <w:numPr>
          <w:ilvl w:val="0"/>
          <w:numId w:val="1"/>
        </w:numPr>
        <w:tabs>
          <w:tab w:val="clear" w:pos="720"/>
          <w:tab w:val="num" w:pos="426"/>
        </w:tabs>
        <w:spacing w:before="240"/>
        <w:ind w:left="426" w:hanging="426"/>
        <w:jc w:val="both"/>
        <w:rPr>
          <w:rFonts w:ascii="Arial" w:hAnsi="Arial" w:cs="Arial"/>
          <w:sz w:val="22"/>
          <w:szCs w:val="22"/>
        </w:rPr>
      </w:pPr>
      <w:r w:rsidRPr="002F69CC">
        <w:rPr>
          <w:rFonts w:ascii="Arial" w:hAnsi="Arial" w:cs="Arial"/>
          <w:sz w:val="22"/>
          <w:szCs w:val="22"/>
        </w:rPr>
        <w:t xml:space="preserve">Positive outcomes of the trial have included increased school attendance and more people taking up services offered in the community voluntarily, including, for example, attending the Wellbeing Centres, significant contributions to Student Education Trusts so families have money to provide for children’s educational needs and health and nutrition. </w:t>
      </w:r>
    </w:p>
    <w:p w:rsidR="003565C6" w:rsidRDefault="003565C6" w:rsidP="00F41F82">
      <w:pPr>
        <w:numPr>
          <w:ilvl w:val="0"/>
          <w:numId w:val="1"/>
        </w:numPr>
        <w:tabs>
          <w:tab w:val="clear" w:pos="720"/>
          <w:tab w:val="num" w:pos="426"/>
        </w:tabs>
        <w:spacing w:before="240"/>
        <w:ind w:left="426" w:hanging="426"/>
        <w:jc w:val="both"/>
        <w:rPr>
          <w:rFonts w:ascii="Arial" w:hAnsi="Arial" w:cs="Arial"/>
          <w:sz w:val="22"/>
          <w:szCs w:val="22"/>
        </w:rPr>
      </w:pPr>
      <w:r w:rsidRPr="00FC5B49">
        <w:rPr>
          <w:rFonts w:ascii="Arial" w:hAnsi="Arial" w:cs="Arial"/>
          <w:sz w:val="22"/>
          <w:szCs w:val="22"/>
          <w:u w:val="single"/>
        </w:rPr>
        <w:t>Cabinet noted</w:t>
      </w:r>
      <w:r w:rsidRPr="002F69CC">
        <w:rPr>
          <w:rFonts w:ascii="Arial" w:hAnsi="Arial" w:cs="Arial"/>
          <w:sz w:val="22"/>
          <w:szCs w:val="22"/>
        </w:rPr>
        <w:t xml:space="preserve"> the F</w:t>
      </w:r>
      <w:r w:rsidR="00FC5B49">
        <w:rPr>
          <w:rFonts w:ascii="Arial" w:hAnsi="Arial" w:cs="Arial"/>
          <w:sz w:val="22"/>
          <w:szCs w:val="22"/>
        </w:rPr>
        <w:t xml:space="preserve">amily </w:t>
      </w:r>
      <w:r w:rsidRPr="002F69CC">
        <w:rPr>
          <w:rFonts w:ascii="Arial" w:hAnsi="Arial" w:cs="Arial"/>
          <w:sz w:val="22"/>
          <w:szCs w:val="22"/>
        </w:rPr>
        <w:t>R</w:t>
      </w:r>
      <w:r w:rsidR="00FC5B49">
        <w:rPr>
          <w:rFonts w:ascii="Arial" w:hAnsi="Arial" w:cs="Arial"/>
          <w:sz w:val="22"/>
          <w:szCs w:val="22"/>
        </w:rPr>
        <w:t xml:space="preserve">esponsibilities </w:t>
      </w:r>
      <w:r w:rsidRPr="002F69CC">
        <w:rPr>
          <w:rFonts w:ascii="Arial" w:hAnsi="Arial" w:cs="Arial"/>
          <w:sz w:val="22"/>
          <w:szCs w:val="22"/>
        </w:rPr>
        <w:t>C</w:t>
      </w:r>
      <w:r w:rsidR="00FC5B49">
        <w:rPr>
          <w:rFonts w:ascii="Arial" w:hAnsi="Arial" w:cs="Arial"/>
          <w:sz w:val="22"/>
          <w:szCs w:val="22"/>
        </w:rPr>
        <w:t>ommission</w:t>
      </w:r>
      <w:r w:rsidRPr="002F69CC">
        <w:rPr>
          <w:rFonts w:ascii="Arial" w:hAnsi="Arial" w:cs="Arial"/>
          <w:sz w:val="22"/>
          <w:szCs w:val="22"/>
        </w:rPr>
        <w:t xml:space="preserve"> Annual Report 2010–11.</w:t>
      </w:r>
    </w:p>
    <w:p w:rsidR="003565C6" w:rsidRPr="003A46F3" w:rsidRDefault="003565C6" w:rsidP="00DF1CA3">
      <w:pPr>
        <w:numPr>
          <w:ilvl w:val="0"/>
          <w:numId w:val="1"/>
        </w:numPr>
        <w:tabs>
          <w:tab w:val="clear" w:pos="720"/>
          <w:tab w:val="num" w:pos="426"/>
        </w:tabs>
        <w:spacing w:before="360"/>
        <w:ind w:left="425" w:hanging="425"/>
        <w:jc w:val="both"/>
        <w:rPr>
          <w:rFonts w:ascii="Arial" w:hAnsi="Arial" w:cs="Arial"/>
          <w:sz w:val="22"/>
          <w:szCs w:val="22"/>
          <w:u w:val="single"/>
        </w:rPr>
      </w:pPr>
      <w:r w:rsidRPr="003A46F3">
        <w:rPr>
          <w:rFonts w:ascii="Arial" w:hAnsi="Arial" w:cs="Arial"/>
          <w:i/>
          <w:sz w:val="22"/>
          <w:szCs w:val="22"/>
          <w:u w:val="single"/>
        </w:rPr>
        <w:t>Attachments</w:t>
      </w:r>
    </w:p>
    <w:p w:rsidR="00CE1C07" w:rsidRPr="003A46F3" w:rsidRDefault="000D589A" w:rsidP="003A46F3">
      <w:pPr>
        <w:numPr>
          <w:ilvl w:val="0"/>
          <w:numId w:val="2"/>
        </w:numPr>
        <w:spacing w:before="120"/>
        <w:ind w:left="714" w:hanging="289"/>
        <w:jc w:val="both"/>
        <w:rPr>
          <w:rFonts w:ascii="Arial" w:hAnsi="Arial" w:cs="Arial"/>
          <w:sz w:val="22"/>
          <w:szCs w:val="22"/>
        </w:rPr>
      </w:pPr>
      <w:hyperlink r:id="rId7" w:history="1">
        <w:r w:rsidR="003565C6" w:rsidRPr="00E75C17">
          <w:rPr>
            <w:rStyle w:val="Hyperlink"/>
            <w:rFonts w:ascii="Arial" w:hAnsi="Arial" w:cs="Arial"/>
            <w:sz w:val="22"/>
            <w:szCs w:val="22"/>
          </w:rPr>
          <w:t>Family Responsibilities Commission Annual Report 2010–2011</w:t>
        </w:r>
      </w:hyperlink>
    </w:p>
    <w:sectPr w:rsidR="00CE1C07" w:rsidRPr="003A46F3" w:rsidSect="00DC7970">
      <w:headerReference w:type="default" r:id="rId8"/>
      <w:pgSz w:w="11906" w:h="16838"/>
      <w:pgMar w:top="1440" w:right="1418" w:bottom="35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2B9" w:rsidRDefault="001D22B9">
      <w:r>
        <w:separator/>
      </w:r>
    </w:p>
  </w:endnote>
  <w:endnote w:type="continuationSeparator" w:id="0">
    <w:p w:rsidR="001D22B9" w:rsidRDefault="001D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2B9" w:rsidRDefault="001D22B9">
      <w:r>
        <w:separator/>
      </w:r>
    </w:p>
  </w:footnote>
  <w:footnote w:type="continuationSeparator" w:id="0">
    <w:p w:rsidR="001D22B9" w:rsidRDefault="001D2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C07" w:rsidRDefault="00CE1C07" w:rsidP="003565C6">
    <w:pPr>
      <w:pStyle w:val="Header"/>
      <w:ind w:firstLine="2880"/>
      <w:rPr>
        <w:rFonts w:ascii="Arial" w:hAnsi="Arial" w:cs="Arial"/>
        <w:b/>
        <w:sz w:val="22"/>
        <w:szCs w:val="22"/>
        <w:u w:val="single"/>
      </w:rPr>
    </w:pPr>
  </w:p>
  <w:p w:rsidR="00CE1C07" w:rsidRDefault="002E1D0F" w:rsidP="003565C6">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CE1C07" w:rsidRPr="000400F9">
      <w:rPr>
        <w:rFonts w:ascii="Arial" w:hAnsi="Arial" w:cs="Arial"/>
        <w:b/>
        <w:sz w:val="22"/>
        <w:szCs w:val="22"/>
        <w:u w:val="single"/>
      </w:rPr>
      <w:t>Cabinet –</w:t>
    </w:r>
    <w:r w:rsidR="00CE1C07">
      <w:rPr>
        <w:rFonts w:ascii="Arial" w:hAnsi="Arial" w:cs="Arial"/>
        <w:b/>
        <w:sz w:val="22"/>
        <w:szCs w:val="22"/>
        <w:u w:val="single"/>
      </w:rPr>
      <w:t xml:space="preserve"> October 2011</w:t>
    </w:r>
    <w:r w:rsidR="00CE1C07">
      <w:rPr>
        <w:rFonts w:ascii="Arial" w:hAnsi="Arial" w:cs="Arial"/>
        <w:b/>
        <w:sz w:val="22"/>
        <w:szCs w:val="22"/>
      </w:rPr>
      <w:t xml:space="preserve"> </w:t>
    </w:r>
  </w:p>
  <w:p w:rsidR="00CE1C07" w:rsidRPr="00E73914" w:rsidRDefault="00CE1C07" w:rsidP="00F41F82">
    <w:pPr>
      <w:keepLines/>
      <w:spacing w:before="120"/>
      <w:rPr>
        <w:rFonts w:ascii="Arial" w:hAnsi="Arial" w:cs="Arial"/>
        <w:b/>
        <w:color w:val="auto"/>
        <w:sz w:val="22"/>
        <w:szCs w:val="22"/>
        <w:u w:val="single"/>
      </w:rPr>
    </w:pPr>
    <w:r w:rsidRPr="00E73914">
      <w:rPr>
        <w:rFonts w:ascii="Arial" w:hAnsi="Arial" w:cs="Arial"/>
        <w:b/>
        <w:color w:val="auto"/>
        <w:sz w:val="22"/>
        <w:szCs w:val="22"/>
        <w:u w:val="single"/>
      </w:rPr>
      <w:t>Family Responsibilities Commission – Annual Report 20</w:t>
    </w:r>
    <w:r>
      <w:rPr>
        <w:rFonts w:ascii="Arial" w:hAnsi="Arial" w:cs="Arial"/>
        <w:b/>
        <w:color w:val="auto"/>
        <w:sz w:val="22"/>
        <w:szCs w:val="22"/>
        <w:u w:val="single"/>
      </w:rPr>
      <w:t>10–</w:t>
    </w:r>
    <w:r w:rsidRPr="00E73914">
      <w:rPr>
        <w:rFonts w:ascii="Arial" w:hAnsi="Arial" w:cs="Arial"/>
        <w:b/>
        <w:color w:val="auto"/>
        <w:sz w:val="22"/>
        <w:szCs w:val="22"/>
        <w:u w:val="single"/>
      </w:rPr>
      <w:t>20</w:t>
    </w:r>
    <w:r>
      <w:rPr>
        <w:rFonts w:ascii="Arial" w:hAnsi="Arial" w:cs="Arial"/>
        <w:b/>
        <w:color w:val="auto"/>
        <w:sz w:val="22"/>
        <w:szCs w:val="22"/>
        <w:u w:val="single"/>
      </w:rPr>
      <w:t xml:space="preserve">11 </w:t>
    </w:r>
  </w:p>
  <w:p w:rsidR="00CE1C07" w:rsidRPr="00E73914" w:rsidRDefault="00CE1C07" w:rsidP="00F41F82">
    <w:pPr>
      <w:keepNext/>
      <w:keepLines/>
      <w:spacing w:before="120"/>
      <w:rPr>
        <w:rFonts w:ascii="Arial" w:hAnsi="Arial" w:cs="Arial"/>
        <w:b/>
        <w:color w:val="auto"/>
        <w:sz w:val="22"/>
        <w:szCs w:val="22"/>
        <w:u w:val="single"/>
      </w:rPr>
    </w:pPr>
    <w:r w:rsidRPr="00E73914">
      <w:rPr>
        <w:rFonts w:ascii="Arial" w:hAnsi="Arial" w:cs="Arial"/>
        <w:b/>
        <w:color w:val="auto"/>
        <w:sz w:val="22"/>
        <w:szCs w:val="22"/>
        <w:u w:val="single"/>
      </w:rPr>
      <w:t xml:space="preserve">Minister for </w:t>
    </w:r>
    <w:r>
      <w:rPr>
        <w:rFonts w:ascii="Arial" w:hAnsi="Arial" w:cs="Arial"/>
        <w:b/>
        <w:color w:val="auto"/>
        <w:sz w:val="22"/>
        <w:szCs w:val="22"/>
        <w:u w:val="single"/>
      </w:rPr>
      <w:t xml:space="preserve">Disability Services, Mental Health </w:t>
    </w:r>
    <w:r w:rsidRPr="00E73914">
      <w:rPr>
        <w:rFonts w:ascii="Arial" w:hAnsi="Arial" w:cs="Arial"/>
        <w:b/>
        <w:color w:val="auto"/>
        <w:sz w:val="22"/>
        <w:szCs w:val="22"/>
        <w:u w:val="single"/>
      </w:rPr>
      <w:t>and</w:t>
    </w:r>
    <w:r w:rsidR="00F41F82">
      <w:rPr>
        <w:rFonts w:ascii="Arial" w:hAnsi="Arial" w:cs="Arial"/>
        <w:b/>
        <w:color w:val="auto"/>
        <w:sz w:val="22"/>
        <w:szCs w:val="22"/>
        <w:u w:val="single"/>
      </w:rPr>
      <w:t xml:space="preserve"> </w:t>
    </w:r>
    <w:r w:rsidRPr="00E73914">
      <w:rPr>
        <w:rFonts w:ascii="Arial" w:hAnsi="Arial" w:cs="Arial"/>
        <w:b/>
        <w:color w:val="auto"/>
        <w:sz w:val="22"/>
        <w:szCs w:val="22"/>
        <w:u w:val="single"/>
      </w:rPr>
      <w:t xml:space="preserve">Aboriginal and </w:t>
    </w:r>
    <w:smartTag w:uri="urn:schemas-microsoft-com:office:smarttags" w:element="place">
      <w:r w:rsidRPr="00E73914">
        <w:rPr>
          <w:rFonts w:ascii="Arial" w:hAnsi="Arial" w:cs="Arial"/>
          <w:b/>
          <w:color w:val="auto"/>
          <w:sz w:val="22"/>
          <w:szCs w:val="22"/>
          <w:u w:val="single"/>
        </w:rPr>
        <w:t>Torres Strait</w:t>
      </w:r>
    </w:smartTag>
    <w:r w:rsidRPr="00E73914">
      <w:rPr>
        <w:rFonts w:ascii="Arial" w:hAnsi="Arial" w:cs="Arial"/>
        <w:b/>
        <w:color w:val="auto"/>
        <w:sz w:val="22"/>
        <w:szCs w:val="22"/>
        <w:u w:val="single"/>
      </w:rPr>
      <w:t xml:space="preserve"> Islander Partnerships</w:t>
    </w:r>
  </w:p>
  <w:p w:rsidR="00CE1C07" w:rsidRDefault="00CE1C07" w:rsidP="003565C6">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0080B"/>
    <w:multiLevelType w:val="hybridMultilevel"/>
    <w:tmpl w:val="5EEE5118"/>
    <w:lvl w:ilvl="0" w:tplc="0C090003">
      <w:start w:val="1"/>
      <w:numFmt w:val="bullet"/>
      <w:lvlText w:val="o"/>
      <w:lvlJc w:val="left"/>
      <w:pPr>
        <w:tabs>
          <w:tab w:val="num" w:pos="786"/>
        </w:tabs>
        <w:ind w:left="786" w:hanging="360"/>
      </w:pPr>
      <w:rPr>
        <w:rFonts w:ascii="Courier New" w:hAnsi="Courier New" w:cs="Courier New" w:hint="default"/>
        <w:b w:val="0"/>
        <w:color w:val="auto"/>
      </w:rPr>
    </w:lvl>
    <w:lvl w:ilvl="1" w:tplc="0C090003">
      <w:start w:val="1"/>
      <w:numFmt w:val="bullet"/>
      <w:lvlText w:val="o"/>
      <w:lvlJc w:val="left"/>
      <w:pPr>
        <w:tabs>
          <w:tab w:val="num" w:pos="1866"/>
        </w:tabs>
        <w:ind w:left="1866" w:hanging="360"/>
      </w:pPr>
      <w:rPr>
        <w:rFonts w:ascii="Courier New" w:hAnsi="Courier New" w:cs="Courier New" w:hint="default"/>
        <w:b w:val="0"/>
      </w:rPr>
    </w:lvl>
    <w:lvl w:ilvl="2" w:tplc="0C09001B" w:tentative="1">
      <w:start w:val="1"/>
      <w:numFmt w:val="lowerRoman"/>
      <w:lvlText w:val="%3."/>
      <w:lvlJc w:val="right"/>
      <w:pPr>
        <w:tabs>
          <w:tab w:val="num" w:pos="2586"/>
        </w:tabs>
        <w:ind w:left="2586" w:hanging="180"/>
      </w:pPr>
    </w:lvl>
    <w:lvl w:ilvl="3" w:tplc="0C09000F" w:tentative="1">
      <w:start w:val="1"/>
      <w:numFmt w:val="decimal"/>
      <w:lvlText w:val="%4."/>
      <w:lvlJc w:val="left"/>
      <w:pPr>
        <w:tabs>
          <w:tab w:val="num" w:pos="3306"/>
        </w:tabs>
        <w:ind w:left="3306" w:hanging="360"/>
      </w:pPr>
    </w:lvl>
    <w:lvl w:ilvl="4" w:tplc="0C090019" w:tentative="1">
      <w:start w:val="1"/>
      <w:numFmt w:val="lowerLetter"/>
      <w:lvlText w:val="%5."/>
      <w:lvlJc w:val="left"/>
      <w:pPr>
        <w:tabs>
          <w:tab w:val="num" w:pos="4026"/>
        </w:tabs>
        <w:ind w:left="4026" w:hanging="360"/>
      </w:pPr>
    </w:lvl>
    <w:lvl w:ilvl="5" w:tplc="0C09001B" w:tentative="1">
      <w:start w:val="1"/>
      <w:numFmt w:val="lowerRoman"/>
      <w:lvlText w:val="%6."/>
      <w:lvlJc w:val="right"/>
      <w:pPr>
        <w:tabs>
          <w:tab w:val="num" w:pos="4746"/>
        </w:tabs>
        <w:ind w:left="4746" w:hanging="180"/>
      </w:pPr>
    </w:lvl>
    <w:lvl w:ilvl="6" w:tplc="0C09000F" w:tentative="1">
      <w:start w:val="1"/>
      <w:numFmt w:val="decimal"/>
      <w:lvlText w:val="%7."/>
      <w:lvlJc w:val="left"/>
      <w:pPr>
        <w:tabs>
          <w:tab w:val="num" w:pos="5466"/>
        </w:tabs>
        <w:ind w:left="5466" w:hanging="360"/>
      </w:pPr>
    </w:lvl>
    <w:lvl w:ilvl="7" w:tplc="0C090019" w:tentative="1">
      <w:start w:val="1"/>
      <w:numFmt w:val="lowerLetter"/>
      <w:lvlText w:val="%8."/>
      <w:lvlJc w:val="left"/>
      <w:pPr>
        <w:tabs>
          <w:tab w:val="num" w:pos="6186"/>
        </w:tabs>
        <w:ind w:left="6186" w:hanging="360"/>
      </w:pPr>
    </w:lvl>
    <w:lvl w:ilvl="8" w:tplc="0C09001B" w:tentative="1">
      <w:start w:val="1"/>
      <w:numFmt w:val="lowerRoman"/>
      <w:lvlText w:val="%9."/>
      <w:lvlJc w:val="right"/>
      <w:pPr>
        <w:tabs>
          <w:tab w:val="num" w:pos="6906"/>
        </w:tabs>
        <w:ind w:left="6906" w:hanging="180"/>
      </w:pPr>
    </w:lvl>
  </w:abstractNum>
  <w:abstractNum w:abstractNumId="1" w15:restartNumberingAfterBreak="0">
    <w:nsid w:val="3F183D93"/>
    <w:multiLevelType w:val="hybridMultilevel"/>
    <w:tmpl w:val="D5081F02"/>
    <w:lvl w:ilvl="0" w:tplc="04090001">
      <w:start w:val="1"/>
      <w:numFmt w:val="bullet"/>
      <w:lvlText w:val=""/>
      <w:lvlJc w:val="left"/>
      <w:pPr>
        <w:tabs>
          <w:tab w:val="num" w:pos="720"/>
        </w:tabs>
        <w:ind w:left="720" w:hanging="360"/>
      </w:pPr>
      <w:rPr>
        <w:rFonts w:ascii="Symbol" w:hAnsi="Symbol" w:hint="default"/>
      </w:rPr>
    </w:lvl>
    <w:lvl w:ilvl="1" w:tplc="A25E56F6">
      <w:start w:val="1"/>
      <w:numFmt w:val="decimal"/>
      <w:lvlText w:val="%2."/>
      <w:lvlJc w:val="left"/>
      <w:pPr>
        <w:tabs>
          <w:tab w:val="num" w:pos="1800"/>
        </w:tabs>
        <w:ind w:left="1800" w:hanging="360"/>
      </w:pPr>
      <w:rPr>
        <w:rFonts w:hint="default"/>
        <w:b w:val="0"/>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B4C6F95"/>
    <w:multiLevelType w:val="hybridMultilevel"/>
    <w:tmpl w:val="F1561A8A"/>
    <w:lvl w:ilvl="0" w:tplc="63F2B98E">
      <w:start w:val="1"/>
      <w:numFmt w:val="bullet"/>
      <w:lvlText w:val="­"/>
      <w:lvlJc w:val="left"/>
      <w:pPr>
        <w:tabs>
          <w:tab w:val="num" w:pos="1074"/>
        </w:tabs>
        <w:ind w:left="1074" w:hanging="360"/>
      </w:pPr>
      <w:rPr>
        <w:rFonts w:ascii="Courier New" w:hAnsi="Courier New" w:hint="default"/>
        <w:b w:val="0"/>
        <w:color w:val="auto"/>
      </w:rPr>
    </w:lvl>
    <w:lvl w:ilvl="1" w:tplc="0C090003">
      <w:start w:val="1"/>
      <w:numFmt w:val="bullet"/>
      <w:lvlText w:val="o"/>
      <w:lvlJc w:val="left"/>
      <w:pPr>
        <w:tabs>
          <w:tab w:val="num" w:pos="2154"/>
        </w:tabs>
        <w:ind w:left="2154" w:hanging="360"/>
      </w:pPr>
      <w:rPr>
        <w:rFonts w:ascii="Courier New" w:hAnsi="Courier New" w:cs="Courier New" w:hint="default"/>
        <w:b w:val="0"/>
      </w:rPr>
    </w:lvl>
    <w:lvl w:ilvl="2" w:tplc="0C09001B" w:tentative="1">
      <w:start w:val="1"/>
      <w:numFmt w:val="lowerRoman"/>
      <w:lvlText w:val="%3."/>
      <w:lvlJc w:val="right"/>
      <w:pPr>
        <w:tabs>
          <w:tab w:val="num" w:pos="2874"/>
        </w:tabs>
        <w:ind w:left="2874" w:hanging="180"/>
      </w:pPr>
    </w:lvl>
    <w:lvl w:ilvl="3" w:tplc="0C09000F" w:tentative="1">
      <w:start w:val="1"/>
      <w:numFmt w:val="decimal"/>
      <w:lvlText w:val="%4."/>
      <w:lvlJc w:val="left"/>
      <w:pPr>
        <w:tabs>
          <w:tab w:val="num" w:pos="3594"/>
        </w:tabs>
        <w:ind w:left="3594" w:hanging="360"/>
      </w:pPr>
    </w:lvl>
    <w:lvl w:ilvl="4" w:tplc="0C090019" w:tentative="1">
      <w:start w:val="1"/>
      <w:numFmt w:val="lowerLetter"/>
      <w:lvlText w:val="%5."/>
      <w:lvlJc w:val="left"/>
      <w:pPr>
        <w:tabs>
          <w:tab w:val="num" w:pos="4314"/>
        </w:tabs>
        <w:ind w:left="4314" w:hanging="360"/>
      </w:pPr>
    </w:lvl>
    <w:lvl w:ilvl="5" w:tplc="0C09001B" w:tentative="1">
      <w:start w:val="1"/>
      <w:numFmt w:val="lowerRoman"/>
      <w:lvlText w:val="%6."/>
      <w:lvlJc w:val="right"/>
      <w:pPr>
        <w:tabs>
          <w:tab w:val="num" w:pos="5034"/>
        </w:tabs>
        <w:ind w:left="5034" w:hanging="180"/>
      </w:pPr>
    </w:lvl>
    <w:lvl w:ilvl="6" w:tplc="0C09000F" w:tentative="1">
      <w:start w:val="1"/>
      <w:numFmt w:val="decimal"/>
      <w:lvlText w:val="%7."/>
      <w:lvlJc w:val="left"/>
      <w:pPr>
        <w:tabs>
          <w:tab w:val="num" w:pos="5754"/>
        </w:tabs>
        <w:ind w:left="5754" w:hanging="360"/>
      </w:pPr>
    </w:lvl>
    <w:lvl w:ilvl="7" w:tplc="0C090019" w:tentative="1">
      <w:start w:val="1"/>
      <w:numFmt w:val="lowerLetter"/>
      <w:lvlText w:val="%8."/>
      <w:lvlJc w:val="left"/>
      <w:pPr>
        <w:tabs>
          <w:tab w:val="num" w:pos="6474"/>
        </w:tabs>
        <w:ind w:left="6474" w:hanging="360"/>
      </w:pPr>
    </w:lvl>
    <w:lvl w:ilvl="8" w:tplc="0C09001B" w:tentative="1">
      <w:start w:val="1"/>
      <w:numFmt w:val="lowerRoman"/>
      <w:lvlText w:val="%9."/>
      <w:lvlJc w:val="right"/>
      <w:pPr>
        <w:tabs>
          <w:tab w:val="num" w:pos="7194"/>
        </w:tabs>
        <w:ind w:left="7194" w:hanging="180"/>
      </w:pPr>
    </w:lvl>
  </w:abstractNum>
  <w:abstractNum w:abstractNumId="3" w15:restartNumberingAfterBreak="0">
    <w:nsid w:val="7F176F87"/>
    <w:multiLevelType w:val="hybridMultilevel"/>
    <w:tmpl w:val="BFCC92F8"/>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C6"/>
    <w:rsid w:val="00011F2C"/>
    <w:rsid w:val="000233EA"/>
    <w:rsid w:val="000451B5"/>
    <w:rsid w:val="000527C0"/>
    <w:rsid w:val="00053738"/>
    <w:rsid w:val="00061B37"/>
    <w:rsid w:val="00077664"/>
    <w:rsid w:val="000B2661"/>
    <w:rsid w:val="000B7191"/>
    <w:rsid w:val="000B73A3"/>
    <w:rsid w:val="000C7D9F"/>
    <w:rsid w:val="000D303E"/>
    <w:rsid w:val="000D589A"/>
    <w:rsid w:val="000D61D7"/>
    <w:rsid w:val="0010011E"/>
    <w:rsid w:val="001130B0"/>
    <w:rsid w:val="0011346A"/>
    <w:rsid w:val="00114F75"/>
    <w:rsid w:val="00120C90"/>
    <w:rsid w:val="001627C3"/>
    <w:rsid w:val="00193F0E"/>
    <w:rsid w:val="00195B01"/>
    <w:rsid w:val="001A4834"/>
    <w:rsid w:val="001B330D"/>
    <w:rsid w:val="001B780A"/>
    <w:rsid w:val="001C16B1"/>
    <w:rsid w:val="001D2072"/>
    <w:rsid w:val="001D22B9"/>
    <w:rsid w:val="001D747B"/>
    <w:rsid w:val="001F0B7B"/>
    <w:rsid w:val="001F3B7C"/>
    <w:rsid w:val="001F4E39"/>
    <w:rsid w:val="001F5E2D"/>
    <w:rsid w:val="00223343"/>
    <w:rsid w:val="00225D90"/>
    <w:rsid w:val="00227C35"/>
    <w:rsid w:val="0023354B"/>
    <w:rsid w:val="002443F5"/>
    <w:rsid w:val="00257D5D"/>
    <w:rsid w:val="00265964"/>
    <w:rsid w:val="00281893"/>
    <w:rsid w:val="0028373B"/>
    <w:rsid w:val="002D6AD2"/>
    <w:rsid w:val="002E1D0F"/>
    <w:rsid w:val="002F69CC"/>
    <w:rsid w:val="00317CF2"/>
    <w:rsid w:val="0034006C"/>
    <w:rsid w:val="003414D6"/>
    <w:rsid w:val="003565C6"/>
    <w:rsid w:val="003658E7"/>
    <w:rsid w:val="00390F50"/>
    <w:rsid w:val="003957AB"/>
    <w:rsid w:val="003A060E"/>
    <w:rsid w:val="003A1194"/>
    <w:rsid w:val="003A14F0"/>
    <w:rsid w:val="003A46F3"/>
    <w:rsid w:val="003A5D35"/>
    <w:rsid w:val="003A6236"/>
    <w:rsid w:val="003B015C"/>
    <w:rsid w:val="003B6385"/>
    <w:rsid w:val="003C24DF"/>
    <w:rsid w:val="003E01BD"/>
    <w:rsid w:val="003E4546"/>
    <w:rsid w:val="003E6E21"/>
    <w:rsid w:val="004048F4"/>
    <w:rsid w:val="00430D28"/>
    <w:rsid w:val="00434531"/>
    <w:rsid w:val="00443F2F"/>
    <w:rsid w:val="00456CDF"/>
    <w:rsid w:val="004858F5"/>
    <w:rsid w:val="004911E6"/>
    <w:rsid w:val="004D2599"/>
    <w:rsid w:val="00504C42"/>
    <w:rsid w:val="00513056"/>
    <w:rsid w:val="00515179"/>
    <w:rsid w:val="00543C9E"/>
    <w:rsid w:val="0057036C"/>
    <w:rsid w:val="005755F7"/>
    <w:rsid w:val="005C2D88"/>
    <w:rsid w:val="005C52AB"/>
    <w:rsid w:val="00616655"/>
    <w:rsid w:val="00623CAA"/>
    <w:rsid w:val="00631597"/>
    <w:rsid w:val="0064376B"/>
    <w:rsid w:val="00647AA0"/>
    <w:rsid w:val="00657EE1"/>
    <w:rsid w:val="00685D20"/>
    <w:rsid w:val="006C60FC"/>
    <w:rsid w:val="006D54C6"/>
    <w:rsid w:val="006D5F30"/>
    <w:rsid w:val="006F4702"/>
    <w:rsid w:val="00704282"/>
    <w:rsid w:val="00727D13"/>
    <w:rsid w:val="007944A4"/>
    <w:rsid w:val="007F70BD"/>
    <w:rsid w:val="008451EC"/>
    <w:rsid w:val="00864807"/>
    <w:rsid w:val="00865B5A"/>
    <w:rsid w:val="00874F27"/>
    <w:rsid w:val="00874FAA"/>
    <w:rsid w:val="00882138"/>
    <w:rsid w:val="00890EAF"/>
    <w:rsid w:val="008B1553"/>
    <w:rsid w:val="008D5BE2"/>
    <w:rsid w:val="008D6BDB"/>
    <w:rsid w:val="008E0959"/>
    <w:rsid w:val="008E68C0"/>
    <w:rsid w:val="00907C7B"/>
    <w:rsid w:val="0092143B"/>
    <w:rsid w:val="0092280E"/>
    <w:rsid w:val="00945C83"/>
    <w:rsid w:val="00951EAE"/>
    <w:rsid w:val="009702E4"/>
    <w:rsid w:val="00996291"/>
    <w:rsid w:val="009B5FB2"/>
    <w:rsid w:val="009C664B"/>
    <w:rsid w:val="009D56E8"/>
    <w:rsid w:val="009D6DE6"/>
    <w:rsid w:val="009E487F"/>
    <w:rsid w:val="00A1265C"/>
    <w:rsid w:val="00A162E9"/>
    <w:rsid w:val="00A23575"/>
    <w:rsid w:val="00A27BC0"/>
    <w:rsid w:val="00A44997"/>
    <w:rsid w:val="00A547F5"/>
    <w:rsid w:val="00A563C0"/>
    <w:rsid w:val="00A67012"/>
    <w:rsid w:val="00A779CE"/>
    <w:rsid w:val="00AB6536"/>
    <w:rsid w:val="00AB664A"/>
    <w:rsid w:val="00AC4FDB"/>
    <w:rsid w:val="00AC5B64"/>
    <w:rsid w:val="00AD1D1B"/>
    <w:rsid w:val="00AF7F81"/>
    <w:rsid w:val="00B1502F"/>
    <w:rsid w:val="00B33C3F"/>
    <w:rsid w:val="00B409DC"/>
    <w:rsid w:val="00B94CBC"/>
    <w:rsid w:val="00BE38F8"/>
    <w:rsid w:val="00BF4E79"/>
    <w:rsid w:val="00C10ABD"/>
    <w:rsid w:val="00C175A1"/>
    <w:rsid w:val="00C229CD"/>
    <w:rsid w:val="00C350AA"/>
    <w:rsid w:val="00C36337"/>
    <w:rsid w:val="00C42FAC"/>
    <w:rsid w:val="00C8132B"/>
    <w:rsid w:val="00CA4C59"/>
    <w:rsid w:val="00CB5368"/>
    <w:rsid w:val="00CE1C07"/>
    <w:rsid w:val="00D04732"/>
    <w:rsid w:val="00D11D3C"/>
    <w:rsid w:val="00D31DAC"/>
    <w:rsid w:val="00D445CA"/>
    <w:rsid w:val="00D459A1"/>
    <w:rsid w:val="00D622C0"/>
    <w:rsid w:val="00D77A76"/>
    <w:rsid w:val="00D84ACE"/>
    <w:rsid w:val="00D94A0B"/>
    <w:rsid w:val="00DA1EA0"/>
    <w:rsid w:val="00DC7970"/>
    <w:rsid w:val="00DD331C"/>
    <w:rsid w:val="00DF048D"/>
    <w:rsid w:val="00DF1CA3"/>
    <w:rsid w:val="00DF5049"/>
    <w:rsid w:val="00E02E8F"/>
    <w:rsid w:val="00E266D3"/>
    <w:rsid w:val="00E30DD2"/>
    <w:rsid w:val="00E3684B"/>
    <w:rsid w:val="00E4438F"/>
    <w:rsid w:val="00E61FD0"/>
    <w:rsid w:val="00E624BB"/>
    <w:rsid w:val="00E75C17"/>
    <w:rsid w:val="00E93E93"/>
    <w:rsid w:val="00EA166E"/>
    <w:rsid w:val="00EA668D"/>
    <w:rsid w:val="00ED60E5"/>
    <w:rsid w:val="00EF6971"/>
    <w:rsid w:val="00F0001E"/>
    <w:rsid w:val="00F058E8"/>
    <w:rsid w:val="00F41F82"/>
    <w:rsid w:val="00F4547A"/>
    <w:rsid w:val="00F46F52"/>
    <w:rsid w:val="00F83EE1"/>
    <w:rsid w:val="00F97BDD"/>
    <w:rsid w:val="00FC039C"/>
    <w:rsid w:val="00FC08B3"/>
    <w:rsid w:val="00FC5728"/>
    <w:rsid w:val="00FC5B49"/>
    <w:rsid w:val="00FC5BC2"/>
    <w:rsid w:val="00FD7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5C6"/>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65C6"/>
    <w:pPr>
      <w:tabs>
        <w:tab w:val="center" w:pos="4153"/>
        <w:tab w:val="right" w:pos="8306"/>
      </w:tabs>
    </w:pPr>
  </w:style>
  <w:style w:type="paragraph" w:styleId="Footer">
    <w:name w:val="footer"/>
    <w:basedOn w:val="Normal"/>
    <w:rsid w:val="003565C6"/>
    <w:pPr>
      <w:tabs>
        <w:tab w:val="center" w:pos="4153"/>
        <w:tab w:val="right" w:pos="8306"/>
      </w:tabs>
    </w:pPr>
  </w:style>
  <w:style w:type="paragraph" w:styleId="BalloonText">
    <w:name w:val="Balloon Text"/>
    <w:basedOn w:val="Normal"/>
    <w:semiHidden/>
    <w:rsid w:val="00657EE1"/>
    <w:rPr>
      <w:rFonts w:ascii="Tahoma" w:hAnsi="Tahoma" w:cs="Tahoma"/>
      <w:sz w:val="16"/>
      <w:szCs w:val="16"/>
    </w:rPr>
  </w:style>
  <w:style w:type="character" w:styleId="Hyperlink">
    <w:name w:val="Hyperlink"/>
    <w:basedOn w:val="DefaultParagraphFont"/>
    <w:rsid w:val="00657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Att%201%20-%20Family%20Responsibilities%20Commission%20-%20Annual%20Report%202010-20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1926</Characters>
  <Application>Microsoft Office Word</Application>
  <DocSecurity>0</DocSecurity>
  <Lines>34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2249</CharactersWithSpaces>
  <SharedDoc>false</SharedDoc>
  <HyperlinkBase>https://www.cabinet.qld.gov.au/documents/2011/Oct/FRC Report/</HyperlinkBase>
  <HLinks>
    <vt:vector size="6" baseType="variant">
      <vt:variant>
        <vt:i4>1441877</vt:i4>
      </vt:variant>
      <vt:variant>
        <vt:i4>0</vt:i4>
      </vt:variant>
      <vt:variant>
        <vt:i4>0</vt:i4>
      </vt:variant>
      <vt:variant>
        <vt:i4>5</vt:i4>
      </vt:variant>
      <vt:variant>
        <vt:lpwstr>Attachments/Att 1 - Family Responsibilities Commission - Annual Report 2010-2011.PDF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2011-12-05T03:06:00Z</cp:lastPrinted>
  <dcterms:created xsi:type="dcterms:W3CDTF">2017-10-24T23:08:00Z</dcterms:created>
  <dcterms:modified xsi:type="dcterms:W3CDTF">2018-03-06T01:10:00Z</dcterms:modified>
  <cp:category>Indigenous,Aboriginal_and_Torres_Strait_Islander</cp:category>
</cp:coreProperties>
</file>